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hint="eastAsia" w:ascii="方正仿宋简体" w:hAnsi="微软雅黑" w:eastAsia="方正仿宋简体"/>
          <w:lang w:eastAsia="zh-CN"/>
        </w:rPr>
      </w:pPr>
    </w:p>
    <w:p>
      <w:pPr>
        <w:pStyle w:val="3"/>
        <w:jc w:val="center"/>
        <w:rPr>
          <w:rFonts w:hint="eastAsia" w:ascii="方正仿宋简体" w:hAnsi="微软雅黑" w:eastAsia="方正仿宋简体"/>
          <w:lang w:eastAsia="zh-CN"/>
        </w:rPr>
      </w:pPr>
    </w:p>
    <w:p>
      <w:pPr>
        <w:pStyle w:val="3"/>
        <w:jc w:val="center"/>
        <w:rPr>
          <w:rFonts w:hint="eastAsia" w:ascii="方正仿宋简体" w:hAnsi="微软雅黑" w:eastAsia="方正仿宋简体"/>
          <w:lang w:eastAsia="zh-CN"/>
        </w:rPr>
      </w:pPr>
    </w:p>
    <w:p>
      <w:pPr>
        <w:pStyle w:val="3"/>
        <w:jc w:val="center"/>
        <w:rPr>
          <w:rFonts w:hint="eastAsia" w:ascii="方正仿宋简体" w:hAnsi="微软雅黑" w:eastAsia="方正仿宋简体"/>
          <w:lang w:eastAsia="zh-CN"/>
        </w:rPr>
      </w:pPr>
      <w:r>
        <w:rPr>
          <w:rFonts w:ascii="方正仿宋简体" w:hAnsi="微软雅黑" w:eastAsia="方正仿宋简体"/>
        </w:rPr>
        <w:drawing>
          <wp:inline distT="0" distB="0" distL="114300" distR="114300">
            <wp:extent cx="1351915" cy="1295400"/>
            <wp:effectExtent l="0" t="0" r="635" b="0"/>
            <wp:docPr id="1" name="图片 1" descr="说明: 中国石油标识（宝石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中国石油标识（宝石花）"/>
                    <pic:cNvPicPr>
                      <a:picLocks noChangeAspect="1"/>
                    </pic:cNvPicPr>
                  </pic:nvPicPr>
                  <pic:blipFill>
                    <a:blip r:embed="rId4"/>
                    <a:stretch>
                      <a:fillRect/>
                    </a:stretch>
                  </pic:blipFill>
                  <pic:spPr>
                    <a:xfrm>
                      <a:off x="0" y="0"/>
                      <a:ext cx="1351915" cy="1295400"/>
                    </a:xfrm>
                    <a:prstGeom prst="rect">
                      <a:avLst/>
                    </a:prstGeom>
                    <a:noFill/>
                    <a:ln>
                      <a:noFill/>
                    </a:ln>
                  </pic:spPr>
                </pic:pic>
              </a:graphicData>
            </a:graphic>
          </wp:inline>
        </w:drawing>
      </w:r>
    </w:p>
    <w:p>
      <w:pPr>
        <w:pStyle w:val="3"/>
        <w:jc w:val="center"/>
        <w:rPr>
          <w:rFonts w:hint="eastAsia" w:ascii="方正仿宋简体" w:hAnsi="微软雅黑" w:eastAsia="方正仿宋简体"/>
          <w:lang w:eastAsia="zh-CN"/>
        </w:rPr>
      </w:pPr>
    </w:p>
    <w:p>
      <w:pPr>
        <w:spacing w:line="760" w:lineRule="exact"/>
        <w:jc w:val="center"/>
        <w:rPr>
          <w:rFonts w:hint="eastAsia" w:ascii="方正小标宋简体" w:eastAsia="方正小标宋简体"/>
          <w:snapToGrid w:val="0"/>
          <w:kern w:val="0"/>
          <w:sz w:val="44"/>
          <w:szCs w:val="44"/>
        </w:rPr>
      </w:pPr>
      <w:r>
        <w:rPr>
          <w:rFonts w:hint="eastAsia" w:ascii="方正小标宋简体" w:eastAsia="方正小标宋简体"/>
          <w:snapToGrid w:val="0"/>
          <w:kern w:val="0"/>
          <w:sz w:val="44"/>
          <w:szCs w:val="44"/>
        </w:rPr>
        <w:t>昆仑银行集中采购项目</w:t>
      </w:r>
      <w:r>
        <w:rPr>
          <w:rFonts w:hint="eastAsia" w:ascii="方正小标宋简体" w:eastAsia="方正小标宋简体"/>
          <w:snapToGrid w:val="0"/>
          <w:sz w:val="44"/>
          <w:szCs w:val="44"/>
        </w:rPr>
        <w:t>需求</w:t>
      </w:r>
    </w:p>
    <w:p>
      <w:pPr>
        <w:pStyle w:val="3"/>
        <w:jc w:val="center"/>
        <w:rPr>
          <w:rFonts w:hint="eastAsia" w:ascii="方正楷体简体" w:hAnsi="微软雅黑" w:eastAsia="方正楷体简体"/>
          <w:snapToGrid w:val="0"/>
          <w:sz w:val="32"/>
          <w:szCs w:val="32"/>
          <w:lang w:eastAsia="zh-CN"/>
        </w:rPr>
      </w:pPr>
      <w:r>
        <w:rPr>
          <w:rFonts w:hint="eastAsia" w:ascii="方正楷体简体" w:hAnsi="微软雅黑" w:eastAsia="方正楷体简体"/>
          <w:snapToGrid w:val="0"/>
          <w:sz w:val="32"/>
          <w:szCs w:val="32"/>
          <w:lang w:eastAsia="zh-CN"/>
        </w:rPr>
        <w:t>（发行绿色金融债券中介机构选商之资信评级）</w:t>
      </w:r>
    </w:p>
    <w:p>
      <w:pPr>
        <w:pStyle w:val="3"/>
        <w:jc w:val="center"/>
        <w:rPr>
          <w:rFonts w:hint="eastAsia" w:ascii="方正仿宋简体" w:hAnsi="微软雅黑" w:eastAsia="方正仿宋简体"/>
          <w:snapToGrid w:val="0"/>
          <w:sz w:val="52"/>
          <w:lang w:eastAsia="zh-CN"/>
        </w:rPr>
      </w:pPr>
    </w:p>
    <w:p>
      <w:pPr>
        <w:pStyle w:val="3"/>
        <w:jc w:val="center"/>
        <w:rPr>
          <w:rFonts w:hint="eastAsia" w:ascii="方正仿宋简体" w:hAnsi="微软雅黑" w:eastAsia="方正仿宋简体"/>
          <w:snapToGrid w:val="0"/>
          <w:sz w:val="52"/>
          <w:lang w:eastAsia="zh-CN"/>
        </w:rPr>
      </w:pPr>
    </w:p>
    <w:p>
      <w:pPr>
        <w:pStyle w:val="3"/>
        <w:jc w:val="center"/>
        <w:rPr>
          <w:rFonts w:hint="eastAsia" w:ascii="方正仿宋简体" w:hAnsi="微软雅黑" w:eastAsia="方正仿宋简体"/>
          <w:snapToGrid w:val="0"/>
          <w:sz w:val="52"/>
          <w:lang w:eastAsia="zh-CN"/>
        </w:rPr>
      </w:pPr>
    </w:p>
    <w:p>
      <w:pPr>
        <w:pStyle w:val="3"/>
        <w:jc w:val="center"/>
        <w:rPr>
          <w:rFonts w:hint="eastAsia" w:ascii="方正仿宋简体" w:hAnsi="微软雅黑" w:eastAsia="方正仿宋简体"/>
          <w:snapToGrid w:val="0"/>
          <w:sz w:val="52"/>
          <w:lang w:eastAsia="zh-CN"/>
        </w:rPr>
      </w:pPr>
    </w:p>
    <w:p>
      <w:pPr>
        <w:pStyle w:val="3"/>
        <w:ind w:firstLine="2800" w:firstLineChars="875"/>
        <w:rPr>
          <w:rFonts w:hint="eastAsia" w:ascii="方正黑体简体" w:hAnsi="微软雅黑" w:eastAsia="方正黑体简体"/>
          <w:color w:val="000000"/>
          <w:sz w:val="32"/>
          <w:szCs w:val="32"/>
          <w:lang w:eastAsia="zh-CN"/>
        </w:rPr>
      </w:pPr>
      <w:r>
        <w:rPr>
          <w:rFonts w:hint="eastAsia" w:ascii="方正黑体简体" w:hAnsi="微软雅黑" w:eastAsia="方正黑体简体"/>
          <w:color w:val="000000"/>
          <w:sz w:val="32"/>
          <w:szCs w:val="32"/>
        </w:rPr>
        <w:t>昆仑银行股份有限公司</w:t>
      </w:r>
    </w:p>
    <w:p>
      <w:pPr>
        <w:pStyle w:val="3"/>
        <w:ind w:firstLine="3920" w:firstLineChars="1225"/>
        <w:rPr>
          <w:rFonts w:hint="eastAsia" w:ascii="方正黑体简体" w:hAnsi="微软雅黑" w:eastAsia="方正黑体简体"/>
          <w:snapToGrid w:val="0"/>
          <w:sz w:val="52"/>
          <w:lang w:eastAsia="zh-CN"/>
        </w:rPr>
      </w:pPr>
      <w:r>
        <w:rPr>
          <w:rFonts w:hint="eastAsia" w:ascii="方正黑体简体" w:hAnsi="微软雅黑" w:eastAsia="方正黑体简体"/>
          <w:color w:val="000000"/>
          <w:sz w:val="32"/>
          <w:szCs w:val="32"/>
        </w:rPr>
        <w:t>20</w:t>
      </w:r>
      <w:r>
        <w:rPr>
          <w:rFonts w:hint="eastAsia" w:ascii="方正黑体简体" w:hAnsi="微软雅黑" w:eastAsia="方正黑体简体"/>
          <w:color w:val="000000"/>
          <w:sz w:val="32"/>
          <w:szCs w:val="32"/>
          <w:lang w:eastAsia="zh-CN"/>
        </w:rPr>
        <w:t>21</w:t>
      </w:r>
      <w:r>
        <w:rPr>
          <w:rFonts w:hint="eastAsia" w:ascii="方正黑体简体" w:hAnsi="微软雅黑" w:eastAsia="方正黑体简体"/>
          <w:color w:val="000000"/>
          <w:sz w:val="32"/>
          <w:szCs w:val="32"/>
        </w:rPr>
        <w:t>年</w:t>
      </w:r>
    </w:p>
    <w:p>
      <w:pPr>
        <w:rPr>
          <w:rFonts w:hint="eastAsia"/>
        </w:rPr>
      </w:pPr>
    </w:p>
    <w:p/>
    <w:p>
      <w:pPr>
        <w:pStyle w:val="2"/>
        <w:numPr>
          <w:ilvl w:val="0"/>
          <w:numId w:val="0"/>
        </w:numPr>
        <w:ind w:left="432" w:hanging="432"/>
        <w:rPr>
          <w:rFonts w:hint="eastAsia"/>
          <w:lang w:eastAsia="zh-CN"/>
        </w:rPr>
      </w:pPr>
      <w:bookmarkStart w:id="0" w:name="_GoBack"/>
      <w:bookmarkEnd w:id="0"/>
      <w:r>
        <w:rPr>
          <w:rFonts w:hint="eastAsia"/>
          <w:lang w:eastAsia="zh-CN"/>
        </w:rPr>
        <w:t>项目需求</w:t>
      </w:r>
    </w:p>
    <w:p>
      <w:pPr>
        <w:spacing w:line="560" w:lineRule="exact"/>
        <w:ind w:firstLine="640" w:firstLineChars="200"/>
        <w:rPr>
          <w:rFonts w:hint="eastAsia" w:ascii="方正仿宋简体" w:hAnsi="宋体" w:eastAsia="方正仿宋简体" w:cs="宋体"/>
          <w:kern w:val="0"/>
          <w:sz w:val="32"/>
          <w:szCs w:val="32"/>
          <w:shd w:val="clear" w:color="auto" w:fill="FFFFFF"/>
        </w:rPr>
      </w:pPr>
      <w:r>
        <w:rPr>
          <w:rFonts w:hint="eastAsia" w:ascii="方正仿宋简体" w:hAnsi="宋体" w:eastAsia="方正仿宋简体" w:cs="宋体"/>
          <w:kern w:val="0"/>
          <w:sz w:val="32"/>
          <w:szCs w:val="32"/>
          <w:shd w:val="clear" w:color="auto" w:fill="FFFFFF"/>
        </w:rPr>
        <w:t>资信评级服务：该类机构必须有中国人民银行认定为评级结果可以在银行间债券市场使用的评级机构资质，具备承做经验和市场占有率，需熟悉监管机构对于发行金融债券评级报告的要求。相关服务包括发行前的主体评级和债项评级，发行后的跟踪评级，为期三年，按照监管要求出具发行前的评级报告和债券存续期的跟踪评级报告。</w:t>
      </w:r>
    </w:p>
    <w:p>
      <w:pPr>
        <w:pStyle w:val="2"/>
        <w:numPr>
          <w:ilvl w:val="0"/>
          <w:numId w:val="0"/>
        </w:numPr>
        <w:ind w:left="432" w:hanging="432"/>
        <w:rPr>
          <w:rFonts w:hint="eastAsia" w:ascii="宋体" w:hAnsi="宋体"/>
          <w:lang w:eastAsia="zh-CN"/>
        </w:rPr>
      </w:pPr>
      <w:r>
        <w:rPr>
          <w:rFonts w:hint="eastAsia" w:ascii="宋体" w:hAnsi="宋体"/>
          <w:lang w:eastAsia="zh-CN"/>
        </w:rPr>
        <w:t>其他要求</w:t>
      </w:r>
    </w:p>
    <w:p>
      <w:pPr>
        <w:rPr>
          <w:rFonts w:ascii="方正仿宋简体" w:hAnsi="宋体" w:eastAsia="方正仿宋简体" w:cs="宋体"/>
          <w:kern w:val="0"/>
          <w:sz w:val="32"/>
          <w:szCs w:val="32"/>
          <w:shd w:val="clear" w:color="auto" w:fill="FFFFFF"/>
        </w:rPr>
      </w:pPr>
      <w:r>
        <w:rPr>
          <w:rFonts w:hint="eastAsia" w:ascii="方正仿宋简体" w:hAnsi="宋体" w:eastAsia="方正仿宋简体" w:cs="宋体"/>
          <w:kern w:val="0"/>
          <w:sz w:val="32"/>
          <w:szCs w:val="32"/>
          <w:shd w:val="clear" w:color="auto" w:fill="FFFFFF"/>
        </w:rPr>
        <w:t>无。</w:t>
      </w:r>
    </w:p>
    <w:p/>
    <w:sectPr>
      <w:pgSz w:w="11906" w:h="16838"/>
      <w:pgMar w:top="1440" w:right="1800" w:bottom="1440" w:left="1800" w:header="851" w:footer="17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简体">
    <w:altName w:val="Arial Unicode MS"/>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decimal"/>
      <w:pStyle w:val="2"/>
      <w:lvlText w:val="%1"/>
      <w:lvlJc w:val="left"/>
      <w:pPr>
        <w:ind w:left="432" w:hanging="432"/>
      </w:pPr>
      <w:rPr>
        <w:rFonts w:hint="eastAsia"/>
      </w:rPr>
    </w:lvl>
    <w:lvl w:ilvl="1" w:tentative="0">
      <w:start w:val="1"/>
      <w:numFmt w:val="decimal"/>
      <w:lvlText w:val="2.%2"/>
      <w:lvlJc w:val="left"/>
      <w:pPr>
        <w:ind w:left="567" w:hanging="567"/>
      </w:pPr>
      <w:rPr>
        <w:rFonts w:hint="eastAsia" w:cs="Times New Roman"/>
        <w:i w:val="0"/>
        <w:iCs w:val="0"/>
        <w:caps w:val="0"/>
        <w:smallCaps w:val="0"/>
        <w:strike w:val="0"/>
        <w:dstrike w:val="0"/>
        <w:vanish w:val="0"/>
        <w:spacing w:val="0"/>
        <w:kern w:val="0"/>
        <w:position w:val="0"/>
        <w:u w:val="none"/>
        <w:vertAlign w:val="baseline"/>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47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widowControl/>
      <w:numPr>
        <w:ilvl w:val="0"/>
        <w:numId w:val="1"/>
      </w:numPr>
      <w:spacing w:before="240" w:after="60" w:line="276" w:lineRule="auto"/>
      <w:jc w:val="left"/>
      <w:outlineLvl w:val="0"/>
    </w:pPr>
    <w:rPr>
      <w:rFonts w:ascii="Cambria" w:hAnsi="Cambria"/>
      <w:b/>
      <w:bCs/>
      <w:kern w:val="32"/>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afterLines="0"/>
    </w:pPr>
    <w:rPr>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hanhe</dc:creator>
  <cp:lastModifiedBy>韩天</cp:lastModifiedBy>
  <dcterms:modified xsi:type="dcterms:W3CDTF">2021-12-15T03:15:40Z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18169A676DEA4CEC9E54895455FA53A7</vt:lpwstr>
  </property>
</Properties>
</file>