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r>
        <w:rPr>
          <w:rFonts w:ascii="方正仿宋简体" w:hAnsi="微软雅黑" w:eastAsia="方正仿宋简体"/>
        </w:rPr>
        <w:drawing>
          <wp:inline distT="0" distB="0" distL="114300" distR="114300">
            <wp:extent cx="1351915" cy="1295400"/>
            <wp:effectExtent l="0" t="0" r="635" b="0"/>
            <wp:docPr id="1" name="图片 1" descr="说明: 中国石油标识（宝石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中国石油标识（宝石花）"/>
                    <pic:cNvPicPr>
                      <a:picLocks noChangeAspect="1"/>
                    </pic:cNvPicPr>
                  </pic:nvPicPr>
                  <pic:blipFill>
                    <a:blip r:embed="rId4"/>
                    <a:stretch>
                      <a:fillRect/>
                    </a:stretch>
                  </pic:blipFill>
                  <pic:spPr>
                    <a:xfrm>
                      <a:off x="0" y="0"/>
                      <a:ext cx="1351915" cy="1295400"/>
                    </a:xfrm>
                    <a:prstGeom prst="rect">
                      <a:avLst/>
                    </a:prstGeom>
                    <a:noFill/>
                    <a:ln>
                      <a:noFill/>
                    </a:ln>
                  </pic:spPr>
                </pic:pic>
              </a:graphicData>
            </a:graphic>
          </wp:inline>
        </w:drawing>
      </w:r>
    </w:p>
    <w:p>
      <w:pPr>
        <w:pStyle w:val="3"/>
        <w:jc w:val="center"/>
        <w:rPr>
          <w:rFonts w:hint="eastAsia" w:ascii="方正仿宋简体" w:hAnsi="微软雅黑" w:eastAsia="方正仿宋简体"/>
          <w:lang w:eastAsia="zh-CN"/>
        </w:rPr>
      </w:pPr>
    </w:p>
    <w:p>
      <w:pPr>
        <w:spacing w:line="760" w:lineRule="exact"/>
        <w:jc w:val="center"/>
        <w:rPr>
          <w:rFonts w:hint="eastAsia" w:ascii="方正小标宋简体" w:eastAsia="方正小标宋简体"/>
          <w:snapToGrid w:val="0"/>
          <w:kern w:val="0"/>
          <w:sz w:val="44"/>
          <w:szCs w:val="44"/>
        </w:rPr>
      </w:pPr>
      <w:r>
        <w:rPr>
          <w:rFonts w:hint="eastAsia" w:ascii="方正小标宋简体" w:eastAsia="方正小标宋简体"/>
          <w:snapToGrid w:val="0"/>
          <w:kern w:val="0"/>
          <w:sz w:val="44"/>
          <w:szCs w:val="44"/>
        </w:rPr>
        <w:t>昆仑银行集中采购项目</w:t>
      </w:r>
      <w:r>
        <w:rPr>
          <w:rFonts w:hint="eastAsia" w:ascii="方正小标宋简体" w:eastAsia="方正小标宋简体"/>
          <w:snapToGrid w:val="0"/>
          <w:sz w:val="44"/>
          <w:szCs w:val="44"/>
        </w:rPr>
        <w:t>需求</w:t>
      </w:r>
    </w:p>
    <w:p>
      <w:pPr>
        <w:pStyle w:val="3"/>
        <w:jc w:val="center"/>
        <w:rPr>
          <w:rFonts w:hint="eastAsia" w:ascii="方正楷体简体" w:hAnsi="微软雅黑" w:eastAsia="方正楷体简体"/>
          <w:snapToGrid w:val="0"/>
          <w:sz w:val="32"/>
          <w:szCs w:val="32"/>
          <w:lang w:eastAsia="zh-CN"/>
        </w:rPr>
      </w:pPr>
      <w:r>
        <w:rPr>
          <w:rFonts w:hint="eastAsia" w:ascii="方正楷体简体" w:hAnsi="微软雅黑" w:eastAsia="方正楷体简体"/>
          <w:snapToGrid w:val="0"/>
          <w:sz w:val="32"/>
          <w:szCs w:val="32"/>
          <w:lang w:eastAsia="zh-CN"/>
        </w:rPr>
        <w:t>（发行绿色金融债券中介机构选商之主承销商）</w:t>
      </w:r>
    </w:p>
    <w:p>
      <w:pPr>
        <w:pStyle w:val="3"/>
        <w:jc w:val="center"/>
        <w:rPr>
          <w:rFonts w:hint="eastAsia" w:ascii="方正仿宋简体" w:hAnsi="微软雅黑" w:eastAsia="方正仿宋简体"/>
          <w:snapToGrid w:val="0"/>
          <w:sz w:val="52"/>
          <w:lang w:eastAsia="zh-CN"/>
        </w:rPr>
      </w:pPr>
      <w:bookmarkStart w:id="0" w:name="_GoBack"/>
      <w:bookmarkEnd w:id="0"/>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ind w:firstLine="2800" w:firstLineChars="875"/>
        <w:rPr>
          <w:rFonts w:hint="eastAsia" w:ascii="方正黑体简体" w:hAnsi="微软雅黑" w:eastAsia="方正黑体简体"/>
          <w:color w:val="000000"/>
          <w:sz w:val="32"/>
          <w:szCs w:val="32"/>
          <w:lang w:eastAsia="zh-CN"/>
        </w:rPr>
      </w:pPr>
      <w:r>
        <w:rPr>
          <w:rFonts w:hint="eastAsia" w:ascii="方正黑体简体" w:hAnsi="微软雅黑" w:eastAsia="方正黑体简体"/>
          <w:color w:val="000000"/>
          <w:sz w:val="32"/>
          <w:szCs w:val="32"/>
        </w:rPr>
        <w:t>昆仑银行股份有限公司</w:t>
      </w:r>
    </w:p>
    <w:p>
      <w:pPr>
        <w:pStyle w:val="3"/>
        <w:ind w:firstLine="3920" w:firstLineChars="1225"/>
        <w:rPr>
          <w:rFonts w:hint="eastAsia" w:ascii="方正黑体简体" w:hAnsi="微软雅黑" w:eastAsia="方正黑体简体"/>
          <w:color w:val="000000"/>
          <w:sz w:val="32"/>
          <w:szCs w:val="32"/>
          <w:lang w:eastAsia="zh-CN"/>
        </w:rPr>
      </w:pPr>
      <w:r>
        <w:rPr>
          <w:rFonts w:hint="eastAsia" w:ascii="方正黑体简体" w:hAnsi="微软雅黑" w:eastAsia="方正黑体简体"/>
          <w:color w:val="000000"/>
          <w:sz w:val="32"/>
          <w:szCs w:val="32"/>
        </w:rPr>
        <w:t>20</w:t>
      </w:r>
      <w:r>
        <w:rPr>
          <w:rFonts w:hint="eastAsia" w:ascii="方正黑体简体" w:hAnsi="微软雅黑" w:eastAsia="方正黑体简体"/>
          <w:color w:val="000000"/>
          <w:sz w:val="32"/>
          <w:szCs w:val="32"/>
          <w:lang w:eastAsia="zh-CN"/>
        </w:rPr>
        <w:t>21</w:t>
      </w:r>
      <w:r>
        <w:rPr>
          <w:rFonts w:hint="eastAsia" w:ascii="方正黑体简体" w:hAnsi="微软雅黑" w:eastAsia="方正黑体简体"/>
          <w:color w:val="000000"/>
          <w:sz w:val="32"/>
          <w:szCs w:val="32"/>
        </w:rPr>
        <w:t>年</w:t>
      </w:r>
    </w:p>
    <w:p>
      <w:pPr>
        <w:rPr>
          <w:rFonts w:hint="eastAsia"/>
        </w:rPr>
      </w:pPr>
    </w:p>
    <w:p/>
    <w:p>
      <w:pPr>
        <w:rPr>
          <w:rFonts w:hint="eastAsia"/>
        </w:rPr>
      </w:pPr>
    </w:p>
    <w:p>
      <w:pPr>
        <w:pStyle w:val="2"/>
        <w:numPr>
          <w:ilvl w:val="0"/>
          <w:numId w:val="0"/>
        </w:numPr>
        <w:ind w:left="432" w:hanging="432"/>
        <w:rPr>
          <w:rFonts w:hint="eastAsia"/>
          <w:lang w:eastAsia="zh-CN"/>
        </w:rPr>
      </w:pPr>
      <w:r>
        <w:rPr>
          <w:rFonts w:hint="eastAsia"/>
          <w:lang w:eastAsia="zh-CN"/>
        </w:rPr>
        <w:t>项目需求</w:t>
      </w:r>
    </w:p>
    <w:p>
      <w:pPr>
        <w:spacing w:line="560" w:lineRule="exact"/>
        <w:ind w:firstLine="640" w:firstLineChars="200"/>
        <w:rPr>
          <w:rFonts w:hint="eastAsia" w:ascii="方正仿宋简体" w:hAnsi="宋体" w:eastAsia="方正仿宋简体" w:cs="宋体"/>
          <w:kern w:val="0"/>
          <w:sz w:val="32"/>
          <w:szCs w:val="32"/>
          <w:shd w:val="clear" w:color="auto" w:fill="FFFFFF"/>
        </w:rPr>
      </w:pPr>
      <w:r>
        <w:rPr>
          <w:rFonts w:hint="eastAsia" w:ascii="方正仿宋简体" w:hAnsi="宋体" w:eastAsia="方正仿宋简体" w:cs="宋体"/>
          <w:kern w:val="0"/>
          <w:sz w:val="32"/>
          <w:szCs w:val="32"/>
          <w:shd w:val="clear" w:color="auto" w:fill="FFFFFF"/>
        </w:rPr>
        <w:t>主承销商：该类机构必须有央行或银行间市场交易商协会认定可从事主承销业务的资质，熟悉监管机构对于发行金融债券的要求和存续期管理规定，具备金融债券主承销经验和较强的销售能力。相关服务包括发行前后的主承管理，为期三年，指导并协助本行准备申报材料、取得监管机构批复，负责寻找合格投资者购买本行绿色金融债券，以同期较低的利率条件按时完成销售工作，提醒并协助本行做好债券存续期管理。</w:t>
      </w:r>
    </w:p>
    <w:p>
      <w:pPr>
        <w:pStyle w:val="2"/>
        <w:numPr>
          <w:ilvl w:val="0"/>
          <w:numId w:val="0"/>
        </w:numPr>
        <w:ind w:left="432" w:hanging="432"/>
        <w:rPr>
          <w:rFonts w:hint="eastAsia" w:ascii="宋体" w:hAnsi="宋体"/>
          <w:lang w:eastAsia="zh-CN"/>
        </w:rPr>
      </w:pPr>
      <w:r>
        <w:rPr>
          <w:rFonts w:hint="eastAsia" w:ascii="宋体" w:hAnsi="宋体"/>
          <w:lang w:eastAsia="zh-CN"/>
        </w:rPr>
        <w:t>其他要求</w:t>
      </w:r>
    </w:p>
    <w:p>
      <w:pPr>
        <w:rPr>
          <w:rFonts w:ascii="方正仿宋简体" w:hAnsi="宋体" w:eastAsia="方正仿宋简体" w:cs="宋体"/>
          <w:kern w:val="0"/>
          <w:sz w:val="32"/>
          <w:szCs w:val="32"/>
          <w:shd w:val="clear" w:color="auto" w:fill="FFFFFF"/>
        </w:rPr>
      </w:pPr>
      <w:r>
        <w:rPr>
          <w:rFonts w:hint="eastAsia" w:ascii="方正仿宋简体" w:hAnsi="宋体" w:eastAsia="方正仿宋简体" w:cs="宋体"/>
          <w:kern w:val="0"/>
          <w:sz w:val="32"/>
          <w:szCs w:val="32"/>
          <w:shd w:val="clear" w:color="auto" w:fill="FFFFFF"/>
        </w:rPr>
        <w:t>无。</w:t>
      </w:r>
    </w:p>
    <w:p/>
    <w:sectPr>
      <w:pgSz w:w="11906" w:h="16838"/>
      <w:pgMar w:top="1440" w:right="1800" w:bottom="1440" w:left="1800" w:header="851" w:footer="17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简体">
    <w:altName w:val="Arial Unicode MS"/>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decimal"/>
      <w:pStyle w:val="2"/>
      <w:lvlText w:val="%1"/>
      <w:lvlJc w:val="left"/>
      <w:pPr>
        <w:ind w:left="432" w:hanging="432"/>
      </w:pPr>
      <w:rPr>
        <w:rFonts w:hint="eastAsia"/>
      </w:rPr>
    </w:lvl>
    <w:lvl w:ilvl="1" w:tentative="0">
      <w:start w:val="1"/>
      <w:numFmt w:val="decimal"/>
      <w:lvlText w:val="2.%2"/>
      <w:lvlJc w:val="left"/>
      <w:pPr>
        <w:ind w:left="567" w:hanging="567"/>
      </w:pPr>
      <w:rPr>
        <w:rFonts w:hint="eastAsia" w:cs="Times New Roman"/>
        <w:i w:val="0"/>
        <w:iCs w:val="0"/>
        <w:caps w:val="0"/>
        <w:smallCaps w:val="0"/>
        <w:strike w:val="0"/>
        <w:dstrike w:val="0"/>
        <w:vanish w:val="0"/>
        <w:spacing w:val="0"/>
        <w:kern w:val="0"/>
        <w:position w:val="0"/>
        <w:u w:val="none"/>
        <w:vertAlign w:val="baseline"/>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764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numPr>
        <w:ilvl w:val="0"/>
        <w:numId w:val="1"/>
      </w:numPr>
      <w:spacing w:before="240" w:after="60" w:line="276" w:lineRule="auto"/>
      <w:jc w:val="left"/>
      <w:outlineLvl w:val="0"/>
    </w:pPr>
    <w:rPr>
      <w:rFonts w:ascii="Cambria" w:hAnsi="Cambria"/>
      <w:b/>
      <w:bCs/>
      <w:kern w:val="32"/>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afterLines="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hanhe</dc:creator>
  <cp:lastModifiedBy>韩天</cp:lastModifiedBy>
  <dcterms:modified xsi:type="dcterms:W3CDTF">2021-12-15T03:16:31Z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537EB25849354C77B2FBC43DC450C2EE</vt:lpwstr>
  </property>
</Properties>
</file>