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  <w:r>
        <w:rPr>
          <w:rFonts w:ascii="方正仿宋简体" w:hAnsi="微软雅黑" w:eastAsia="方正仿宋简体"/>
        </w:rPr>
        <w:drawing>
          <wp:inline distT="0" distB="0" distL="114300" distR="114300">
            <wp:extent cx="1351915" cy="1295400"/>
            <wp:effectExtent l="0" t="0" r="635" b="0"/>
            <wp:docPr id="1" name="图片 1" descr="说明: 中国石油标识（宝石花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中国石油标识（宝石花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spacing w:line="760" w:lineRule="exact"/>
        <w:jc w:val="center"/>
        <w:rPr>
          <w:rFonts w:hint="eastAsia"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昆仑银行集中采购项目</w:t>
      </w:r>
      <w:r>
        <w:rPr>
          <w:rFonts w:hint="eastAsia" w:ascii="方正小标宋简体" w:eastAsia="方正小标宋简体"/>
          <w:snapToGrid w:val="0"/>
          <w:sz w:val="44"/>
          <w:szCs w:val="44"/>
        </w:rPr>
        <w:t>需求</w:t>
      </w:r>
    </w:p>
    <w:p>
      <w:pPr>
        <w:pStyle w:val="3"/>
        <w:jc w:val="center"/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</w:pPr>
      <w:r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  <w:t>（发行绿色金融债券中介机构选商之法律服务）</w:t>
      </w: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  <w:bookmarkStart w:id="0" w:name="_GoBack"/>
      <w:bookmarkEnd w:id="0"/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ind w:firstLine="2800" w:firstLineChars="875"/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昆仑银行股份有限公司</w:t>
      </w:r>
    </w:p>
    <w:p>
      <w:pPr>
        <w:pStyle w:val="3"/>
        <w:ind w:firstLine="3920" w:firstLineChars="1225"/>
        <w:rPr>
          <w:rFonts w:hint="eastAsia" w:ascii="方正黑体简体" w:hAnsi="微软雅黑" w:eastAsia="方正黑体简体"/>
          <w:snapToGrid w:val="0"/>
          <w:sz w:val="5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20</w:t>
      </w:r>
      <w:r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  <w:t>21</w:t>
      </w: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年</w:t>
      </w:r>
    </w:p>
    <w:p>
      <w:pPr>
        <w:rPr>
          <w:rFonts w:hint="eastAsia"/>
        </w:rPr>
      </w:pPr>
    </w:p>
    <w:p/>
    <w:p>
      <w:pPr>
        <w:rPr>
          <w:rFonts w:hint="eastAsia"/>
        </w:rPr>
      </w:pPr>
    </w:p>
    <w:p>
      <w:pPr>
        <w:pStyle w:val="2"/>
        <w:numPr>
          <w:ilvl w:val="0"/>
          <w:numId w:val="0"/>
        </w:numPr>
        <w:ind w:left="432" w:hanging="432"/>
        <w:rPr>
          <w:rFonts w:hint="eastAsia"/>
          <w:lang w:eastAsia="zh-CN"/>
        </w:rPr>
      </w:pPr>
      <w:r>
        <w:rPr>
          <w:rFonts w:hint="eastAsia"/>
          <w:lang w:eastAsia="zh-CN"/>
        </w:rPr>
        <w:t>项目需求</w:t>
      </w:r>
    </w:p>
    <w:p>
      <w:pPr>
        <w:spacing w:line="560" w:lineRule="exact"/>
        <w:ind w:firstLine="640" w:firstLineChars="200"/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法律服务：该类机构必须有认定的法律服务资质，具备金融债法律服务承做经验，需熟悉监管机构对于发行绿色金融债券的要求。负责发行前为本行发行绿色金融债券出具法律意见书。</w:t>
      </w:r>
    </w:p>
    <w:p>
      <w:pPr>
        <w:pStyle w:val="2"/>
        <w:numPr>
          <w:ilvl w:val="0"/>
          <w:numId w:val="0"/>
        </w:numPr>
        <w:ind w:left="432" w:hanging="432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其他要求</w:t>
      </w:r>
    </w:p>
    <w:p>
      <w:pPr>
        <w:rPr>
          <w:rFonts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无。</w:t>
      </w:r>
    </w:p>
    <w:p/>
    <w:sectPr>
      <w:pgSz w:w="11906" w:h="16838"/>
      <w:pgMar w:top="1440" w:right="1800" w:bottom="1440" w:left="1800" w:header="851" w:footer="17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2.%2"/>
      <w:lvlJc w:val="left"/>
      <w:pPr>
        <w:ind w:left="567" w:hanging="567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EC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numPr>
        <w:ilvl w:val="0"/>
        <w:numId w:val="1"/>
      </w:numPr>
      <w:spacing w:before="240" w:after="60" w:line="276" w:lineRule="auto"/>
      <w:jc w:val="left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hanhe</dc:creator>
  <cp:lastModifiedBy>韩天</cp:lastModifiedBy>
  <dcterms:modified xsi:type="dcterms:W3CDTF">2021-12-15T03:17:07Z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8A775F79B6854E22BBFC7E6F11AA059F</vt:lpwstr>
  </property>
</Properties>
</file>